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6B" w:rsidRPr="00646540" w:rsidRDefault="006C1F6B" w:rsidP="006C1F6B">
      <w:pPr>
        <w:jc w:val="center"/>
        <w:rPr>
          <w:szCs w:val="30"/>
        </w:rPr>
      </w:pPr>
      <w:r w:rsidRPr="00646540">
        <w:rPr>
          <w:szCs w:val="30"/>
        </w:rPr>
        <w:t xml:space="preserve">Сведения </w:t>
      </w:r>
    </w:p>
    <w:p w:rsidR="006C1F6B" w:rsidRPr="00646540" w:rsidRDefault="006C1F6B" w:rsidP="006C1F6B">
      <w:pPr>
        <w:jc w:val="center"/>
        <w:rPr>
          <w:szCs w:val="30"/>
        </w:rPr>
      </w:pPr>
      <w:r w:rsidRPr="00646540">
        <w:rPr>
          <w:szCs w:val="30"/>
        </w:rPr>
        <w:t xml:space="preserve">по выполнению государственных программ, подпрограмм </w:t>
      </w:r>
    </w:p>
    <w:p w:rsidR="006C1F6B" w:rsidRPr="00646540" w:rsidRDefault="00EF282D" w:rsidP="006C1F6B">
      <w:pPr>
        <w:jc w:val="center"/>
        <w:rPr>
          <w:szCs w:val="30"/>
        </w:rPr>
      </w:pPr>
      <w:r>
        <w:rPr>
          <w:szCs w:val="30"/>
        </w:rPr>
        <w:t>и мероприятий</w:t>
      </w:r>
      <w:r w:rsidR="006C1F6B" w:rsidRPr="00646540">
        <w:rPr>
          <w:szCs w:val="30"/>
        </w:rPr>
        <w:t xml:space="preserve"> за счет средств областного и районного бюджетов</w:t>
      </w:r>
    </w:p>
    <w:p w:rsidR="006C1F6B" w:rsidRPr="00646540" w:rsidRDefault="006C1F6B" w:rsidP="006C1F6B">
      <w:pPr>
        <w:jc w:val="center"/>
        <w:rPr>
          <w:szCs w:val="30"/>
        </w:rPr>
      </w:pPr>
      <w:r w:rsidRPr="00646540">
        <w:rPr>
          <w:szCs w:val="30"/>
        </w:rPr>
        <w:t>Кировским районным исполнительным комитетом в 2019 году</w:t>
      </w:r>
    </w:p>
    <w:p w:rsidR="00646540" w:rsidRPr="00646540" w:rsidRDefault="00646540" w:rsidP="006C1F6B">
      <w:pPr>
        <w:jc w:val="center"/>
        <w:rPr>
          <w:szCs w:val="30"/>
        </w:rPr>
      </w:pPr>
    </w:p>
    <w:p w:rsidR="006C1F6B" w:rsidRPr="00646540" w:rsidRDefault="006C1F6B" w:rsidP="006C1F6B">
      <w:pPr>
        <w:rPr>
          <w:szCs w:val="30"/>
        </w:rPr>
      </w:pPr>
    </w:p>
    <w:p w:rsidR="006C1F6B" w:rsidRPr="00646540" w:rsidRDefault="006C1F6B" w:rsidP="00534826">
      <w:pPr>
        <w:pStyle w:val="a4"/>
        <w:numPr>
          <w:ilvl w:val="0"/>
          <w:numId w:val="4"/>
        </w:numPr>
        <w:ind w:left="0" w:firstLine="709"/>
        <w:rPr>
          <w:szCs w:val="30"/>
        </w:rPr>
      </w:pPr>
      <w:r w:rsidRPr="00646540">
        <w:rPr>
          <w:szCs w:val="30"/>
        </w:rPr>
        <w:t>Расходы на предоставление гражданам одноразовых субсидий на строительство (реконструкцию) или приобретение жилых помещений и на погашение задолженности по льготным кредитам, полученным на их строительство (реконструкцию) или приобретение</w:t>
      </w:r>
      <w:r w:rsidR="0027233D" w:rsidRPr="00646540">
        <w:rPr>
          <w:szCs w:val="30"/>
        </w:rPr>
        <w:t xml:space="preserve"> (31 чел.)</w:t>
      </w:r>
      <w:r w:rsidRPr="00646540">
        <w:rPr>
          <w:szCs w:val="30"/>
        </w:rPr>
        <w:t>:</w:t>
      </w:r>
    </w:p>
    <w:p w:rsidR="006C1F6B" w:rsidRPr="00646540" w:rsidRDefault="006C1F6B" w:rsidP="006C1F6B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Выделено на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16000,00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1500,00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7000,00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7500,00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6C1F6B" w:rsidRPr="00646540" w:rsidRDefault="006C1F6B" w:rsidP="006C1F6B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783"/>
        <w:gridCol w:w="1783"/>
        <w:gridCol w:w="1783"/>
        <w:gridCol w:w="1783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1444,23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1444,23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6C1F6B" w:rsidRPr="00646540" w:rsidRDefault="006C1F6B" w:rsidP="006C1F6B">
      <w:pPr>
        <w:pStyle w:val="a4"/>
        <w:rPr>
          <w:szCs w:val="30"/>
        </w:rPr>
      </w:pPr>
    </w:p>
    <w:p w:rsidR="006C1F6B" w:rsidRPr="00646540" w:rsidRDefault="006C1F6B" w:rsidP="0027233D">
      <w:pPr>
        <w:pStyle w:val="a4"/>
        <w:numPr>
          <w:ilvl w:val="0"/>
          <w:numId w:val="4"/>
        </w:numPr>
        <w:ind w:left="0" w:firstLine="709"/>
        <w:rPr>
          <w:szCs w:val="30"/>
        </w:rPr>
      </w:pPr>
      <w:r w:rsidRPr="00646540">
        <w:rPr>
          <w:szCs w:val="30"/>
        </w:rPr>
        <w:t>Финансовая поддержка государства молодым и многодетным семьям в погашении задолженности по кредитам, выданным банками на строительство (реконструкцию) или приобретение жилых помещений (за исключением льготных кредитов, предоставленных гражданам в соответствии с законодательными актами)</w:t>
      </w:r>
      <w:r w:rsidR="0027233D" w:rsidRPr="00646540">
        <w:rPr>
          <w:szCs w:val="30"/>
        </w:rPr>
        <w:t xml:space="preserve"> (14 чел.)</w:t>
      </w:r>
      <w:r w:rsidRPr="00646540">
        <w:rPr>
          <w:szCs w:val="30"/>
        </w:rPr>
        <w:t>: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Выделено на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34900,00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19500,00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5000,00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9500,00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900,00</w:t>
            </w:r>
          </w:p>
        </w:tc>
      </w:tr>
    </w:tbl>
    <w:p w:rsidR="006C1F6B" w:rsidRPr="00646540" w:rsidRDefault="006C1F6B" w:rsidP="006C1F6B">
      <w:pPr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810"/>
        <w:gridCol w:w="1774"/>
        <w:gridCol w:w="1774"/>
        <w:gridCol w:w="1774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19023,68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19023,68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6C1F6B" w:rsidRPr="00646540" w:rsidRDefault="006C1F6B" w:rsidP="006C1F6B">
      <w:pPr>
        <w:rPr>
          <w:szCs w:val="30"/>
        </w:rPr>
      </w:pPr>
    </w:p>
    <w:p w:rsidR="00F2505A" w:rsidRPr="00646540" w:rsidRDefault="00F2505A" w:rsidP="00646540">
      <w:pPr>
        <w:pStyle w:val="a4"/>
        <w:numPr>
          <w:ilvl w:val="0"/>
          <w:numId w:val="4"/>
        </w:numPr>
        <w:ind w:left="0" w:firstLine="709"/>
        <w:rPr>
          <w:szCs w:val="30"/>
        </w:rPr>
      </w:pPr>
      <w:r w:rsidRPr="00646540">
        <w:rPr>
          <w:szCs w:val="30"/>
        </w:rPr>
        <w:t>Расходы по п</w:t>
      </w:r>
      <w:r w:rsidR="006C1F6B" w:rsidRPr="00646540">
        <w:rPr>
          <w:szCs w:val="30"/>
        </w:rPr>
        <w:t>редоставлени</w:t>
      </w:r>
      <w:r w:rsidRPr="00646540">
        <w:rPr>
          <w:szCs w:val="30"/>
        </w:rPr>
        <w:t>ю</w:t>
      </w:r>
      <w:r w:rsidR="006C1F6B" w:rsidRPr="00646540">
        <w:rPr>
          <w:szCs w:val="30"/>
        </w:rPr>
        <w:t xml:space="preserve"> безналичных жилищных субсидий</w:t>
      </w:r>
      <w:r w:rsidRPr="00646540">
        <w:rPr>
          <w:szCs w:val="30"/>
        </w:rPr>
        <w:t xml:space="preserve"> по государственной программе «Комфортное жилье и благоприятная среда» на 2016-2020 годы: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Выделено на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5893,00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1124,00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1375,00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1503,00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1891,00</w:t>
            </w:r>
          </w:p>
        </w:tc>
      </w:tr>
    </w:tbl>
    <w:p w:rsidR="006C1F6B" w:rsidRPr="00646540" w:rsidRDefault="006C1F6B" w:rsidP="006C1F6B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783"/>
        <w:gridCol w:w="1783"/>
        <w:gridCol w:w="1783"/>
        <w:gridCol w:w="1783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592,42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592,42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6C1F6B" w:rsidRPr="00646540" w:rsidRDefault="006C1F6B" w:rsidP="006C1F6B">
      <w:pPr>
        <w:rPr>
          <w:szCs w:val="30"/>
        </w:rPr>
      </w:pPr>
    </w:p>
    <w:p w:rsidR="006C1F6B" w:rsidRPr="00646540" w:rsidRDefault="006C1F6B" w:rsidP="00534826">
      <w:pPr>
        <w:pStyle w:val="a4"/>
        <w:numPr>
          <w:ilvl w:val="0"/>
          <w:numId w:val="4"/>
        </w:numPr>
        <w:ind w:left="0" w:firstLine="709"/>
        <w:rPr>
          <w:szCs w:val="30"/>
        </w:rPr>
      </w:pPr>
      <w:r w:rsidRPr="00646540">
        <w:rPr>
          <w:szCs w:val="30"/>
        </w:rPr>
        <w:t>Расходы по индексированным жилищным квотам (именным приватизационным чекам «Жилье»)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Выделено на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30000,00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13500,00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7500,00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9000,00</w:t>
            </w:r>
          </w:p>
        </w:tc>
      </w:tr>
    </w:tbl>
    <w:p w:rsidR="006C1F6B" w:rsidRPr="00646540" w:rsidRDefault="006C1F6B" w:rsidP="006C1F6B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783"/>
        <w:gridCol w:w="1783"/>
        <w:gridCol w:w="1783"/>
        <w:gridCol w:w="1783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6C1F6B" w:rsidRPr="00646540" w:rsidRDefault="006C1F6B" w:rsidP="006C1F6B">
      <w:pPr>
        <w:rPr>
          <w:szCs w:val="30"/>
        </w:rPr>
      </w:pPr>
    </w:p>
    <w:p w:rsidR="006C1F6B" w:rsidRPr="00646540" w:rsidRDefault="006C1F6B" w:rsidP="00F2505A">
      <w:pPr>
        <w:pStyle w:val="a4"/>
        <w:numPr>
          <w:ilvl w:val="0"/>
          <w:numId w:val="4"/>
        </w:numPr>
        <w:ind w:left="0" w:firstLine="709"/>
        <w:rPr>
          <w:rFonts w:eastAsia="Times New Roman"/>
          <w:color w:val="000000"/>
          <w:szCs w:val="30"/>
          <w:lang w:eastAsia="ru-RU"/>
        </w:rPr>
      </w:pPr>
      <w:r w:rsidRPr="00646540">
        <w:rPr>
          <w:rFonts w:eastAsia="Times New Roman"/>
          <w:color w:val="000000"/>
          <w:szCs w:val="30"/>
          <w:lang w:eastAsia="ru-RU"/>
        </w:rPr>
        <w:t>Расходы на финансирование мероприятий по бытовому обслуживанию населения</w:t>
      </w:r>
      <w:r w:rsidR="00F2505A" w:rsidRPr="00646540">
        <w:rPr>
          <w:rFonts w:eastAsia="Times New Roman"/>
          <w:color w:val="000000"/>
          <w:szCs w:val="30"/>
          <w:lang w:eastAsia="ru-RU"/>
        </w:rPr>
        <w:t xml:space="preserve"> по государственной программе </w:t>
      </w:r>
      <w:r w:rsidR="00F2505A" w:rsidRPr="00646540">
        <w:rPr>
          <w:szCs w:val="30"/>
        </w:rPr>
        <w:t>«Комфортное жилье и благоприятная среда» на 2016-2020 годы:</w:t>
      </w:r>
    </w:p>
    <w:p w:rsidR="00F2505A" w:rsidRPr="00646540" w:rsidRDefault="00F2505A" w:rsidP="00F2505A">
      <w:pPr>
        <w:pStyle w:val="a4"/>
        <w:ind w:left="709"/>
        <w:rPr>
          <w:rFonts w:eastAsia="Times New Roman"/>
          <w:color w:val="000000"/>
          <w:szCs w:val="3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Выделено на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7478,00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1246,00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6232,00</w:t>
            </w:r>
          </w:p>
        </w:tc>
      </w:tr>
    </w:tbl>
    <w:p w:rsidR="006C1F6B" w:rsidRPr="00646540" w:rsidRDefault="006C1F6B" w:rsidP="006C1F6B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783"/>
        <w:gridCol w:w="1783"/>
        <w:gridCol w:w="1783"/>
        <w:gridCol w:w="1783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6C1F6B" w:rsidRPr="00646540" w:rsidRDefault="006C1F6B" w:rsidP="006C1F6B">
      <w:pPr>
        <w:rPr>
          <w:szCs w:val="30"/>
        </w:rPr>
      </w:pPr>
    </w:p>
    <w:p w:rsidR="006C1F6B" w:rsidRPr="00646540" w:rsidRDefault="006C1F6B" w:rsidP="00F2505A">
      <w:pPr>
        <w:pStyle w:val="a4"/>
        <w:numPr>
          <w:ilvl w:val="0"/>
          <w:numId w:val="4"/>
        </w:numPr>
        <w:ind w:left="0" w:firstLine="709"/>
        <w:rPr>
          <w:rFonts w:eastAsia="Times New Roman"/>
          <w:color w:val="000000"/>
          <w:szCs w:val="30"/>
          <w:lang w:eastAsia="ru-RU"/>
        </w:rPr>
      </w:pPr>
      <w:r w:rsidRPr="00646540">
        <w:rPr>
          <w:rFonts w:eastAsia="Times New Roman"/>
          <w:color w:val="000000"/>
          <w:szCs w:val="30"/>
          <w:lang w:eastAsia="ru-RU"/>
        </w:rPr>
        <w:t>Расходы на благоустройство населенных пунктов, мероприятия на особо охраняемых территориях, объектах</w:t>
      </w:r>
      <w:r w:rsidR="00F2505A" w:rsidRPr="00646540">
        <w:rPr>
          <w:rFonts w:eastAsia="Times New Roman"/>
          <w:color w:val="000000"/>
          <w:szCs w:val="30"/>
          <w:lang w:eastAsia="ru-RU"/>
        </w:rPr>
        <w:t xml:space="preserve"> по государственной программе «Охрана окружающей среды и устойчивое использование природных ресурсов» на 2016-2020 годы:</w:t>
      </w:r>
    </w:p>
    <w:p w:rsidR="006C1F6B" w:rsidRPr="00646540" w:rsidRDefault="006C1F6B" w:rsidP="006C1F6B">
      <w:pPr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Выделено на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1000,00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1000,00</w:t>
            </w:r>
          </w:p>
        </w:tc>
      </w:tr>
    </w:tbl>
    <w:p w:rsidR="006C1F6B" w:rsidRPr="00646540" w:rsidRDefault="006C1F6B" w:rsidP="006C1F6B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783"/>
        <w:gridCol w:w="1783"/>
        <w:gridCol w:w="1783"/>
        <w:gridCol w:w="1783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6C1F6B" w:rsidRPr="00646540" w:rsidRDefault="006C1F6B" w:rsidP="006C1F6B">
      <w:pPr>
        <w:rPr>
          <w:szCs w:val="30"/>
        </w:rPr>
      </w:pPr>
    </w:p>
    <w:p w:rsidR="006C1F6B" w:rsidRPr="00646540" w:rsidRDefault="006C1F6B" w:rsidP="00F2505A">
      <w:pPr>
        <w:pStyle w:val="a4"/>
        <w:numPr>
          <w:ilvl w:val="0"/>
          <w:numId w:val="4"/>
        </w:numPr>
        <w:ind w:left="0" w:firstLine="709"/>
        <w:rPr>
          <w:rFonts w:eastAsia="Times New Roman"/>
          <w:color w:val="000000"/>
          <w:szCs w:val="30"/>
          <w:lang w:eastAsia="ru-RU"/>
        </w:rPr>
      </w:pPr>
      <w:r w:rsidRPr="00646540">
        <w:rPr>
          <w:rFonts w:eastAsia="Times New Roman"/>
          <w:color w:val="000000"/>
          <w:szCs w:val="30"/>
          <w:lang w:eastAsia="ru-RU"/>
        </w:rPr>
        <w:t>Расходы на охрану водных ресурсов, водообеспечение населения, восстановление водных систем</w:t>
      </w:r>
      <w:r w:rsidR="00F2505A" w:rsidRPr="00646540">
        <w:rPr>
          <w:rFonts w:eastAsia="Times New Roman"/>
          <w:color w:val="000000"/>
          <w:szCs w:val="30"/>
          <w:lang w:eastAsia="ru-RU"/>
        </w:rPr>
        <w:t xml:space="preserve"> по государственной программе «Охрана окружающей среды и устойчивое использование природных ресурсов» на 2016-2020 годы:</w:t>
      </w:r>
    </w:p>
    <w:p w:rsidR="006C1F6B" w:rsidRDefault="006C1F6B" w:rsidP="006C1F6B">
      <w:pPr>
        <w:rPr>
          <w:szCs w:val="30"/>
        </w:rPr>
      </w:pPr>
    </w:p>
    <w:p w:rsidR="00646540" w:rsidRPr="00646540" w:rsidRDefault="00646540" w:rsidP="006C1F6B">
      <w:pPr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lastRenderedPageBreak/>
              <w:t>Выделено на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20000,00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20000,00</w:t>
            </w:r>
          </w:p>
        </w:tc>
      </w:tr>
    </w:tbl>
    <w:p w:rsidR="006C1F6B" w:rsidRPr="00646540" w:rsidRDefault="006C1F6B" w:rsidP="006C1F6B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783"/>
        <w:gridCol w:w="1783"/>
        <w:gridCol w:w="1783"/>
        <w:gridCol w:w="1783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6C1F6B" w:rsidRPr="00646540" w:rsidRDefault="006C1F6B" w:rsidP="006C1F6B">
      <w:pPr>
        <w:rPr>
          <w:szCs w:val="30"/>
        </w:rPr>
      </w:pPr>
    </w:p>
    <w:p w:rsidR="006C1F6B" w:rsidRPr="00646540" w:rsidRDefault="006C1F6B" w:rsidP="00F2505A">
      <w:pPr>
        <w:pStyle w:val="a4"/>
        <w:numPr>
          <w:ilvl w:val="0"/>
          <w:numId w:val="4"/>
        </w:numPr>
        <w:ind w:left="0" w:firstLine="709"/>
        <w:rPr>
          <w:rFonts w:eastAsia="Times New Roman"/>
          <w:color w:val="000000"/>
          <w:szCs w:val="30"/>
          <w:lang w:eastAsia="ru-RU"/>
        </w:rPr>
      </w:pPr>
      <w:r w:rsidRPr="00646540">
        <w:rPr>
          <w:rFonts w:eastAsia="Times New Roman"/>
          <w:color w:val="000000"/>
          <w:szCs w:val="30"/>
          <w:lang w:eastAsia="ru-RU"/>
        </w:rPr>
        <w:t>Расходы по обслуживанию и погашению льготных кредитов, полученных сельскохозяйственными организациями на строительство (реконструкцию) или приобретение жилых домов (квартир), реконструкцию объектов под жилые помещения, по которым осуществлен перевод долга</w:t>
      </w:r>
      <w:r w:rsidR="00F2505A" w:rsidRPr="00646540">
        <w:rPr>
          <w:rFonts w:eastAsia="Times New Roman"/>
          <w:color w:val="000000"/>
          <w:szCs w:val="30"/>
          <w:lang w:eastAsia="ru-RU"/>
        </w:rPr>
        <w:t xml:space="preserve"> по государственной программе «Строительство жилья» на 2016-2020 годы:</w:t>
      </w:r>
    </w:p>
    <w:p w:rsidR="006C1F6B" w:rsidRPr="00646540" w:rsidRDefault="006C1F6B" w:rsidP="006C1F6B">
      <w:pPr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Выделено на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7304,00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1826,00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1826,00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1826,00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1826,00</w:t>
            </w:r>
          </w:p>
        </w:tc>
      </w:tr>
    </w:tbl>
    <w:p w:rsidR="006C1F6B" w:rsidRPr="00646540" w:rsidRDefault="006C1F6B" w:rsidP="006C1F6B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783"/>
        <w:gridCol w:w="1783"/>
        <w:gridCol w:w="1783"/>
        <w:gridCol w:w="1783"/>
      </w:tblGrid>
      <w:tr w:rsidR="006C1F6B" w:rsidRPr="00646540" w:rsidTr="00D46217">
        <w:tc>
          <w:tcPr>
            <w:tcW w:w="1970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2019 г., руб.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6C1F6B" w:rsidRPr="00646540" w:rsidTr="00D46217">
        <w:tc>
          <w:tcPr>
            <w:tcW w:w="1970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1825,77</w:t>
            </w:r>
          </w:p>
        </w:tc>
        <w:tc>
          <w:tcPr>
            <w:tcW w:w="1971" w:type="dxa"/>
          </w:tcPr>
          <w:p w:rsidR="006C1F6B" w:rsidRPr="00646540" w:rsidRDefault="0027233D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1825,77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6C1F6B" w:rsidRPr="00646540" w:rsidRDefault="006C1F6B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F15B7B" w:rsidRPr="00646540" w:rsidRDefault="00F15B7B" w:rsidP="006C1F6B">
      <w:pPr>
        <w:rPr>
          <w:szCs w:val="30"/>
        </w:rPr>
      </w:pPr>
    </w:p>
    <w:p w:rsidR="00534826" w:rsidRPr="00646540" w:rsidRDefault="00F15B7B" w:rsidP="00F2505A">
      <w:pPr>
        <w:pStyle w:val="a4"/>
        <w:numPr>
          <w:ilvl w:val="0"/>
          <w:numId w:val="4"/>
        </w:numPr>
        <w:ind w:left="0" w:firstLine="709"/>
        <w:rPr>
          <w:rFonts w:eastAsia="Times New Roman"/>
          <w:color w:val="000000"/>
          <w:szCs w:val="30"/>
          <w:lang w:eastAsia="ru-RU"/>
        </w:rPr>
      </w:pPr>
      <w:r w:rsidRPr="00646540">
        <w:rPr>
          <w:rFonts w:eastAsia="Times New Roman"/>
          <w:color w:val="000000"/>
          <w:szCs w:val="30"/>
          <w:lang w:eastAsia="ru-RU"/>
        </w:rPr>
        <w:t>Иные общегосударственные расходы:</w:t>
      </w:r>
    </w:p>
    <w:p w:rsidR="00534826" w:rsidRPr="00646540" w:rsidRDefault="00534826" w:rsidP="00534826">
      <w:pPr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534826" w:rsidRPr="00646540" w:rsidTr="00D46217">
        <w:tc>
          <w:tcPr>
            <w:tcW w:w="1970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Выделено на 2019 г., руб.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534826" w:rsidRPr="00646540" w:rsidTr="00D46217">
        <w:tc>
          <w:tcPr>
            <w:tcW w:w="1970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57876,00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25525,00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3000,00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5000,00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24351,00</w:t>
            </w:r>
          </w:p>
        </w:tc>
      </w:tr>
    </w:tbl>
    <w:p w:rsidR="00534826" w:rsidRPr="00646540" w:rsidRDefault="00534826" w:rsidP="00534826">
      <w:pPr>
        <w:pStyle w:val="a4"/>
        <w:rPr>
          <w:szCs w:val="30"/>
        </w:rPr>
      </w:pPr>
    </w:p>
    <w:tbl>
      <w:tblPr>
        <w:tblStyle w:val="a3"/>
        <w:tblW w:w="0" w:type="auto"/>
        <w:tblLook w:val="04A0"/>
      </w:tblPr>
      <w:tblGrid>
        <w:gridCol w:w="2722"/>
        <w:gridCol w:w="1810"/>
        <w:gridCol w:w="1774"/>
        <w:gridCol w:w="1774"/>
        <w:gridCol w:w="1774"/>
      </w:tblGrid>
      <w:tr w:rsidR="00534826" w:rsidRPr="00646540" w:rsidTr="00D46217">
        <w:tc>
          <w:tcPr>
            <w:tcW w:w="1970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Профинансировано в 2019 г., руб.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III</w:t>
            </w:r>
            <w:r w:rsidRPr="00646540">
              <w:rPr>
                <w:szCs w:val="30"/>
              </w:rPr>
              <w:t xml:space="preserve"> квартал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  <w:lang w:val="en-US"/>
              </w:rPr>
              <w:t>IV</w:t>
            </w:r>
            <w:r w:rsidRPr="00646540">
              <w:rPr>
                <w:szCs w:val="30"/>
              </w:rPr>
              <w:t xml:space="preserve"> квартал</w:t>
            </w:r>
          </w:p>
        </w:tc>
      </w:tr>
      <w:tr w:rsidR="00534826" w:rsidRPr="00646540" w:rsidTr="00D46217">
        <w:tc>
          <w:tcPr>
            <w:tcW w:w="1970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21207,76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21207,76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  <w:tc>
          <w:tcPr>
            <w:tcW w:w="1971" w:type="dxa"/>
          </w:tcPr>
          <w:p w:rsidR="00534826" w:rsidRPr="00646540" w:rsidRDefault="00534826" w:rsidP="00D46217">
            <w:pPr>
              <w:jc w:val="center"/>
              <w:rPr>
                <w:szCs w:val="30"/>
              </w:rPr>
            </w:pPr>
            <w:r w:rsidRPr="00646540">
              <w:rPr>
                <w:szCs w:val="30"/>
              </w:rPr>
              <w:t>-</w:t>
            </w:r>
          </w:p>
        </w:tc>
      </w:tr>
    </w:tbl>
    <w:p w:rsidR="00534826" w:rsidRPr="00646540" w:rsidRDefault="00534826" w:rsidP="00534826">
      <w:pPr>
        <w:rPr>
          <w:szCs w:val="30"/>
        </w:rPr>
      </w:pPr>
    </w:p>
    <w:p w:rsidR="006C1F6B" w:rsidRPr="00646540" w:rsidRDefault="006C1F6B" w:rsidP="006C1F6B">
      <w:pPr>
        <w:rPr>
          <w:szCs w:val="30"/>
        </w:rPr>
      </w:pPr>
    </w:p>
    <w:p w:rsidR="00534826" w:rsidRPr="00646540" w:rsidRDefault="00534826" w:rsidP="006C1F6B">
      <w:pPr>
        <w:rPr>
          <w:szCs w:val="30"/>
        </w:rPr>
      </w:pPr>
    </w:p>
    <w:p w:rsidR="006C1F6B" w:rsidRPr="00646540" w:rsidRDefault="006C1F6B" w:rsidP="00F23DAB">
      <w:pPr>
        <w:rPr>
          <w:szCs w:val="30"/>
        </w:rPr>
      </w:pPr>
    </w:p>
    <w:p w:rsidR="0027233D" w:rsidRPr="00646540" w:rsidRDefault="0027233D" w:rsidP="00F23DAB">
      <w:pPr>
        <w:rPr>
          <w:szCs w:val="30"/>
        </w:rPr>
      </w:pPr>
    </w:p>
    <w:p w:rsidR="0027233D" w:rsidRPr="00646540" w:rsidRDefault="0027233D" w:rsidP="00F23DAB">
      <w:pPr>
        <w:rPr>
          <w:szCs w:val="30"/>
        </w:rPr>
      </w:pPr>
    </w:p>
    <w:p w:rsidR="00646540" w:rsidRPr="00646540" w:rsidRDefault="00646540" w:rsidP="00F23DAB">
      <w:pPr>
        <w:rPr>
          <w:szCs w:val="30"/>
        </w:rPr>
      </w:pPr>
    </w:p>
    <w:p w:rsidR="00646540" w:rsidRPr="00646540" w:rsidRDefault="00646540" w:rsidP="00F23DAB">
      <w:pPr>
        <w:rPr>
          <w:szCs w:val="30"/>
        </w:rPr>
      </w:pPr>
    </w:p>
    <w:p w:rsidR="00646540" w:rsidRPr="00646540" w:rsidRDefault="00646540" w:rsidP="00F23DAB">
      <w:pPr>
        <w:rPr>
          <w:szCs w:val="30"/>
        </w:rPr>
      </w:pPr>
    </w:p>
    <w:p w:rsidR="00646540" w:rsidRPr="00646540" w:rsidRDefault="00646540" w:rsidP="00F23DAB">
      <w:pPr>
        <w:rPr>
          <w:szCs w:val="30"/>
        </w:rPr>
      </w:pPr>
    </w:p>
    <w:p w:rsidR="00646540" w:rsidRPr="00646540" w:rsidRDefault="00646540" w:rsidP="00F23DAB">
      <w:pPr>
        <w:rPr>
          <w:szCs w:val="30"/>
        </w:rPr>
      </w:pPr>
    </w:p>
    <w:p w:rsidR="00646540" w:rsidRPr="00646540" w:rsidRDefault="00646540" w:rsidP="00646540">
      <w:pPr>
        <w:spacing w:line="280" w:lineRule="exact"/>
        <w:rPr>
          <w:szCs w:val="30"/>
        </w:rPr>
      </w:pP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  <w:t>Заместителю председателя</w:t>
      </w:r>
    </w:p>
    <w:p w:rsidR="00646540" w:rsidRPr="00646540" w:rsidRDefault="00646540" w:rsidP="00646540">
      <w:pPr>
        <w:spacing w:line="280" w:lineRule="exact"/>
        <w:rPr>
          <w:szCs w:val="30"/>
        </w:rPr>
      </w:pP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  <w:t>Кировского районного</w:t>
      </w:r>
    </w:p>
    <w:p w:rsidR="00646540" w:rsidRPr="00646540" w:rsidRDefault="00646540" w:rsidP="00646540">
      <w:pPr>
        <w:spacing w:line="280" w:lineRule="exact"/>
        <w:rPr>
          <w:szCs w:val="30"/>
        </w:rPr>
      </w:pP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  <w:t>исполнительного комитета</w:t>
      </w:r>
    </w:p>
    <w:p w:rsidR="00646540" w:rsidRPr="00646540" w:rsidRDefault="00646540" w:rsidP="00646540">
      <w:pPr>
        <w:spacing w:line="280" w:lineRule="exact"/>
        <w:rPr>
          <w:szCs w:val="30"/>
        </w:rPr>
      </w:pP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</w:r>
      <w:r w:rsidRPr="00646540">
        <w:rPr>
          <w:szCs w:val="30"/>
        </w:rPr>
        <w:tab/>
        <w:t>Белявской Т.И.</w:t>
      </w:r>
    </w:p>
    <w:p w:rsidR="00646540" w:rsidRPr="00646540" w:rsidRDefault="00646540" w:rsidP="00F23DAB">
      <w:pPr>
        <w:rPr>
          <w:szCs w:val="30"/>
        </w:rPr>
      </w:pPr>
    </w:p>
    <w:p w:rsidR="00646540" w:rsidRPr="00646540" w:rsidRDefault="00646540" w:rsidP="00F23DAB">
      <w:pPr>
        <w:rPr>
          <w:szCs w:val="30"/>
        </w:rPr>
      </w:pPr>
      <w:r w:rsidRPr="00646540">
        <w:rPr>
          <w:szCs w:val="30"/>
        </w:rPr>
        <w:tab/>
      </w:r>
      <w:r w:rsidR="00BE3964">
        <w:rPr>
          <w:szCs w:val="30"/>
        </w:rPr>
        <w:t>Группа</w:t>
      </w:r>
      <w:r w:rsidRPr="00646540">
        <w:rPr>
          <w:szCs w:val="30"/>
        </w:rPr>
        <w:t xml:space="preserve"> бухгалтерского учета и отчетности Кировского районного исполнительного комитета просит </w:t>
      </w:r>
      <w:r w:rsidR="00383C11">
        <w:rPr>
          <w:szCs w:val="30"/>
        </w:rPr>
        <w:t>разместить</w:t>
      </w:r>
      <w:r w:rsidRPr="00646540">
        <w:rPr>
          <w:szCs w:val="30"/>
        </w:rPr>
        <w:t xml:space="preserve"> на сайт</w:t>
      </w:r>
      <w:r w:rsidR="00383C11">
        <w:rPr>
          <w:szCs w:val="30"/>
        </w:rPr>
        <w:t xml:space="preserve">е, удалив </w:t>
      </w:r>
      <w:proofErr w:type="gramStart"/>
      <w:r w:rsidR="00383C11">
        <w:rPr>
          <w:szCs w:val="30"/>
        </w:rPr>
        <w:t>предыдущую</w:t>
      </w:r>
      <w:proofErr w:type="gramEnd"/>
      <w:r w:rsidRPr="00646540">
        <w:rPr>
          <w:szCs w:val="30"/>
        </w:rPr>
        <w:t>:</w:t>
      </w:r>
    </w:p>
    <w:p w:rsidR="0027233D" w:rsidRPr="00646540" w:rsidRDefault="0027233D" w:rsidP="00646540">
      <w:pPr>
        <w:ind w:firstLine="708"/>
        <w:rPr>
          <w:szCs w:val="30"/>
        </w:rPr>
      </w:pPr>
      <w:r w:rsidRPr="00646540">
        <w:rPr>
          <w:szCs w:val="30"/>
        </w:rPr>
        <w:t>Главная – Экономика – Подкатегория «Сведения по выполнению государственных программ, подпрограмм и мероприятия за счет средств областного и районного бюджетов» (</w:t>
      </w:r>
      <w:r w:rsidRPr="00646540">
        <w:rPr>
          <w:i/>
          <w:szCs w:val="30"/>
        </w:rPr>
        <w:t>предоставлена на электронном носителе</w:t>
      </w:r>
      <w:r w:rsidRPr="00646540">
        <w:rPr>
          <w:szCs w:val="30"/>
        </w:rPr>
        <w:t>)</w:t>
      </w:r>
      <w:r w:rsidR="00646540">
        <w:rPr>
          <w:szCs w:val="30"/>
        </w:rPr>
        <w:t>.</w:t>
      </w:r>
    </w:p>
    <w:p w:rsidR="00646540" w:rsidRPr="00646540" w:rsidRDefault="00646540" w:rsidP="00646540">
      <w:pPr>
        <w:rPr>
          <w:szCs w:val="30"/>
        </w:rPr>
      </w:pPr>
    </w:p>
    <w:p w:rsidR="00646540" w:rsidRPr="00646540" w:rsidRDefault="00646540" w:rsidP="00646540">
      <w:pPr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  <w:r w:rsidRPr="00646540">
        <w:rPr>
          <w:szCs w:val="30"/>
        </w:rPr>
        <w:t>Главный бухгалтер</w:t>
      </w:r>
      <w:r w:rsidRPr="00646540">
        <w:rPr>
          <w:szCs w:val="30"/>
        </w:rPr>
        <w:tab/>
        <w:t>Ю.В.Филипец</w:t>
      </w: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Default="00646540" w:rsidP="00646540">
      <w:pPr>
        <w:tabs>
          <w:tab w:val="left" w:pos="6804"/>
        </w:tabs>
        <w:rPr>
          <w:szCs w:val="30"/>
        </w:rPr>
      </w:pPr>
    </w:p>
    <w:p w:rsidR="00646540" w:rsidRPr="00646540" w:rsidRDefault="00646540" w:rsidP="00646540">
      <w:pPr>
        <w:tabs>
          <w:tab w:val="left" w:pos="6804"/>
        </w:tabs>
        <w:rPr>
          <w:sz w:val="16"/>
          <w:szCs w:val="16"/>
        </w:rPr>
      </w:pPr>
      <w:r>
        <w:rPr>
          <w:sz w:val="16"/>
          <w:szCs w:val="16"/>
        </w:rPr>
        <w:t>Кравцова 79164</w:t>
      </w:r>
    </w:p>
    <w:sectPr w:rsidR="00646540" w:rsidRPr="00646540" w:rsidSect="00C46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DC8"/>
    <w:multiLevelType w:val="hybridMultilevel"/>
    <w:tmpl w:val="F32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BFD"/>
    <w:multiLevelType w:val="hybridMultilevel"/>
    <w:tmpl w:val="F32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13D5C"/>
    <w:multiLevelType w:val="hybridMultilevel"/>
    <w:tmpl w:val="F32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20996"/>
    <w:multiLevelType w:val="hybridMultilevel"/>
    <w:tmpl w:val="407C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C12CC"/>
    <w:multiLevelType w:val="hybridMultilevel"/>
    <w:tmpl w:val="F32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954C8"/>
    <w:multiLevelType w:val="hybridMultilevel"/>
    <w:tmpl w:val="F32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05CE4"/>
    <w:multiLevelType w:val="hybridMultilevel"/>
    <w:tmpl w:val="F32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366A"/>
    <w:rsid w:val="00092405"/>
    <w:rsid w:val="00174ADC"/>
    <w:rsid w:val="0027233D"/>
    <w:rsid w:val="00380391"/>
    <w:rsid w:val="00383C11"/>
    <w:rsid w:val="00482F40"/>
    <w:rsid w:val="00517048"/>
    <w:rsid w:val="00534826"/>
    <w:rsid w:val="00575F0F"/>
    <w:rsid w:val="005D366A"/>
    <w:rsid w:val="005E2DD9"/>
    <w:rsid w:val="005E5240"/>
    <w:rsid w:val="006050CD"/>
    <w:rsid w:val="00646540"/>
    <w:rsid w:val="006C1F6B"/>
    <w:rsid w:val="00755D50"/>
    <w:rsid w:val="007C3BF5"/>
    <w:rsid w:val="008A2D27"/>
    <w:rsid w:val="008C2FC0"/>
    <w:rsid w:val="009F071C"/>
    <w:rsid w:val="00A357E5"/>
    <w:rsid w:val="00AE53AB"/>
    <w:rsid w:val="00BC072F"/>
    <w:rsid w:val="00BE3964"/>
    <w:rsid w:val="00BF3631"/>
    <w:rsid w:val="00C4661A"/>
    <w:rsid w:val="00C46FF6"/>
    <w:rsid w:val="00CA66D3"/>
    <w:rsid w:val="00E6287A"/>
    <w:rsid w:val="00EF282D"/>
    <w:rsid w:val="00F15B7B"/>
    <w:rsid w:val="00F23DAB"/>
    <w:rsid w:val="00F2505A"/>
    <w:rsid w:val="00FC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D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</dc:creator>
  <cp:lastModifiedBy>kravcova</cp:lastModifiedBy>
  <cp:revision>10</cp:revision>
  <cp:lastPrinted>2019-04-01T11:01:00Z</cp:lastPrinted>
  <dcterms:created xsi:type="dcterms:W3CDTF">2019-04-01T06:28:00Z</dcterms:created>
  <dcterms:modified xsi:type="dcterms:W3CDTF">2019-04-02T06:54:00Z</dcterms:modified>
</cp:coreProperties>
</file>